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0D" w:rsidRPr="007D07E3" w:rsidRDefault="003049D3" w:rsidP="003710CF">
      <w:pPr>
        <w:jc w:val="center"/>
        <w:rPr>
          <w:b/>
        </w:rPr>
      </w:pPr>
      <w:r w:rsidRPr="007D07E3">
        <w:rPr>
          <w:b/>
        </w:rPr>
        <w:t>Financial Inclusion Roundtable</w:t>
      </w:r>
    </w:p>
    <w:p w:rsidR="003049D3" w:rsidRPr="007D07E3" w:rsidRDefault="003049D3" w:rsidP="003710CF">
      <w:pPr>
        <w:jc w:val="center"/>
        <w:rPr>
          <w:b/>
        </w:rPr>
      </w:pPr>
      <w:r w:rsidRPr="007D07E3">
        <w:rPr>
          <w:b/>
        </w:rPr>
        <w:t>Thursday, April 28, 2016</w:t>
      </w:r>
    </w:p>
    <w:p w:rsidR="003049D3" w:rsidRPr="007D07E3" w:rsidRDefault="003049D3" w:rsidP="003710CF">
      <w:pPr>
        <w:jc w:val="center"/>
        <w:rPr>
          <w:b/>
        </w:rPr>
      </w:pPr>
      <w:r w:rsidRPr="007D07E3">
        <w:rPr>
          <w:b/>
        </w:rPr>
        <w:t>7:30 am – 9:00 am</w:t>
      </w:r>
    </w:p>
    <w:p w:rsidR="003049D3" w:rsidRDefault="003049D3"/>
    <w:p w:rsidR="00A55E89" w:rsidRDefault="00A55E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310"/>
        <w:gridCol w:w="3410"/>
      </w:tblGrid>
      <w:tr w:rsidR="00A55E89" w:rsidTr="00897020">
        <w:tc>
          <w:tcPr>
            <w:tcW w:w="1350" w:type="dxa"/>
          </w:tcPr>
          <w:p w:rsidR="00A55E89" w:rsidRDefault="00A55E89">
            <w:r>
              <w:t>7:30 am</w:t>
            </w:r>
          </w:p>
        </w:tc>
        <w:tc>
          <w:tcPr>
            <w:tcW w:w="5310" w:type="dxa"/>
          </w:tcPr>
          <w:p w:rsidR="00A55E89" w:rsidRDefault="00A55E89">
            <w:r>
              <w:t>Breakfast, Coffee and Networking</w:t>
            </w:r>
          </w:p>
          <w:p w:rsidR="00897020" w:rsidRDefault="00897020"/>
        </w:tc>
        <w:tc>
          <w:tcPr>
            <w:tcW w:w="3410" w:type="dxa"/>
          </w:tcPr>
          <w:p w:rsidR="00A55E89" w:rsidRDefault="00A55E89"/>
        </w:tc>
      </w:tr>
      <w:tr w:rsidR="00A55E89" w:rsidTr="00897020">
        <w:tc>
          <w:tcPr>
            <w:tcW w:w="1350" w:type="dxa"/>
          </w:tcPr>
          <w:p w:rsidR="00A55E89" w:rsidRDefault="00A55E89">
            <w:r>
              <w:t>7:45 am</w:t>
            </w:r>
          </w:p>
        </w:tc>
        <w:tc>
          <w:tcPr>
            <w:tcW w:w="5310" w:type="dxa"/>
          </w:tcPr>
          <w:p w:rsidR="00A55E89" w:rsidRDefault="00A55E89">
            <w:r>
              <w:t>Welcome and Opening Remarks</w:t>
            </w:r>
          </w:p>
          <w:p w:rsidR="00A55E89" w:rsidRDefault="00A55E89" w:rsidP="00A55E89">
            <w:pPr>
              <w:pStyle w:val="ListParagraph"/>
              <w:numPr>
                <w:ilvl w:val="0"/>
                <w:numId w:val="2"/>
              </w:numPr>
            </w:pPr>
            <w:r>
              <w:t>Recap of United Way’s service provider survey on financial inclusion</w:t>
            </w:r>
          </w:p>
        </w:tc>
        <w:tc>
          <w:tcPr>
            <w:tcW w:w="3410" w:type="dxa"/>
          </w:tcPr>
          <w:p w:rsidR="00A55E89" w:rsidRDefault="00A55E89">
            <w:r>
              <w:t>Greg Mangum</w:t>
            </w:r>
          </w:p>
          <w:p w:rsidR="00A55E89" w:rsidRDefault="00A55E89">
            <w:r>
              <w:t>United Way</w:t>
            </w:r>
          </w:p>
          <w:p w:rsidR="00897020" w:rsidRDefault="00897020"/>
          <w:p w:rsidR="00897020" w:rsidRDefault="00897020"/>
        </w:tc>
      </w:tr>
      <w:tr w:rsidR="00A55E89" w:rsidTr="00897020">
        <w:tc>
          <w:tcPr>
            <w:tcW w:w="1350" w:type="dxa"/>
          </w:tcPr>
          <w:p w:rsidR="00A55E89" w:rsidRDefault="00A55E89">
            <w:r>
              <w:t>7:55 am</w:t>
            </w:r>
          </w:p>
        </w:tc>
        <w:tc>
          <w:tcPr>
            <w:tcW w:w="5310" w:type="dxa"/>
          </w:tcPr>
          <w:p w:rsidR="00A55E89" w:rsidRDefault="00A55E89">
            <w:r>
              <w:t>FDIC’s Economic Inclusion Ladder</w:t>
            </w:r>
          </w:p>
        </w:tc>
        <w:tc>
          <w:tcPr>
            <w:tcW w:w="3410" w:type="dxa"/>
          </w:tcPr>
          <w:p w:rsidR="00A55E89" w:rsidRDefault="00A55E89">
            <w:r>
              <w:t>Eloy Villafranca</w:t>
            </w:r>
          </w:p>
          <w:p w:rsidR="00A55E89" w:rsidRDefault="00A55E89">
            <w:r>
              <w:t>FDIC</w:t>
            </w:r>
          </w:p>
          <w:p w:rsidR="00897020" w:rsidRDefault="00897020"/>
        </w:tc>
      </w:tr>
      <w:tr w:rsidR="00A55E89" w:rsidTr="00897020">
        <w:tc>
          <w:tcPr>
            <w:tcW w:w="1350" w:type="dxa"/>
          </w:tcPr>
          <w:p w:rsidR="00A55E89" w:rsidRDefault="00A55E89">
            <w:r>
              <w:t>8:10 am</w:t>
            </w:r>
          </w:p>
        </w:tc>
        <w:tc>
          <w:tcPr>
            <w:tcW w:w="5310" w:type="dxa"/>
          </w:tcPr>
          <w:p w:rsidR="00A55E89" w:rsidRDefault="00A55E89">
            <w:r>
              <w:t>City of Dallas Perspectives</w:t>
            </w:r>
          </w:p>
        </w:tc>
        <w:tc>
          <w:tcPr>
            <w:tcW w:w="3410" w:type="dxa"/>
          </w:tcPr>
          <w:p w:rsidR="00A55E89" w:rsidRDefault="00A55E89">
            <w:r>
              <w:t>Councilman Rick Callahan</w:t>
            </w:r>
          </w:p>
          <w:p w:rsidR="00A55E89" w:rsidRDefault="00A55E89"/>
        </w:tc>
      </w:tr>
      <w:tr w:rsidR="00A55E89" w:rsidTr="00897020">
        <w:tc>
          <w:tcPr>
            <w:tcW w:w="1350" w:type="dxa"/>
          </w:tcPr>
          <w:p w:rsidR="00A55E89" w:rsidRDefault="00A55E89">
            <w:r>
              <w:t>8:20 am</w:t>
            </w:r>
          </w:p>
        </w:tc>
        <w:tc>
          <w:tcPr>
            <w:tcW w:w="5310" w:type="dxa"/>
          </w:tcPr>
          <w:p w:rsidR="00A55E89" w:rsidRDefault="00A55E89">
            <w:r>
              <w:t>Nonprofits: clients and services in a post-recession economy</w:t>
            </w:r>
          </w:p>
        </w:tc>
        <w:tc>
          <w:tcPr>
            <w:tcW w:w="3410" w:type="dxa"/>
          </w:tcPr>
          <w:p w:rsidR="00A55E89" w:rsidRDefault="00A55E89">
            <w:r>
              <w:t>Camilla Zimbal</w:t>
            </w:r>
          </w:p>
          <w:p w:rsidR="00A55E89" w:rsidRDefault="00A55E89">
            <w:proofErr w:type="spellStart"/>
            <w:r>
              <w:t>Metrocrest</w:t>
            </w:r>
            <w:proofErr w:type="spellEnd"/>
            <w:r>
              <w:t xml:space="preserve"> Services</w:t>
            </w:r>
          </w:p>
          <w:p w:rsidR="00A55E89" w:rsidRDefault="00A55E89"/>
        </w:tc>
      </w:tr>
      <w:tr w:rsidR="00A55E89" w:rsidTr="00897020">
        <w:tc>
          <w:tcPr>
            <w:tcW w:w="1350" w:type="dxa"/>
          </w:tcPr>
          <w:p w:rsidR="00A55E89" w:rsidRDefault="00A55E89">
            <w:r>
              <w:t>8:30 am</w:t>
            </w:r>
          </w:p>
        </w:tc>
        <w:tc>
          <w:tcPr>
            <w:tcW w:w="5310" w:type="dxa"/>
          </w:tcPr>
          <w:p w:rsidR="00A55E89" w:rsidRDefault="00A55E89">
            <w:r>
              <w:t>Financial Institutions:  post-recession environment, products and services</w:t>
            </w:r>
          </w:p>
          <w:p w:rsidR="00A55E89" w:rsidRDefault="00A55E89"/>
        </w:tc>
        <w:tc>
          <w:tcPr>
            <w:tcW w:w="3410" w:type="dxa"/>
          </w:tcPr>
          <w:p w:rsidR="00A55E89" w:rsidRDefault="00A55E89">
            <w:r>
              <w:t>Amanda Stephens</w:t>
            </w:r>
          </w:p>
          <w:p w:rsidR="00A55E89" w:rsidRDefault="00A55E89">
            <w:r>
              <w:t>First Convenience Bank</w:t>
            </w:r>
          </w:p>
        </w:tc>
      </w:tr>
      <w:tr w:rsidR="00A55E89" w:rsidTr="00897020">
        <w:tc>
          <w:tcPr>
            <w:tcW w:w="1350" w:type="dxa"/>
          </w:tcPr>
          <w:p w:rsidR="00A55E89" w:rsidRDefault="00897020">
            <w:r>
              <w:t>8:40 am</w:t>
            </w:r>
          </w:p>
        </w:tc>
        <w:tc>
          <w:tcPr>
            <w:tcW w:w="5310" w:type="dxa"/>
          </w:tcPr>
          <w:p w:rsidR="00A55E89" w:rsidRDefault="00897020">
            <w:r>
              <w:t>Group  Q&amp;A</w:t>
            </w:r>
          </w:p>
        </w:tc>
        <w:tc>
          <w:tcPr>
            <w:tcW w:w="3410" w:type="dxa"/>
          </w:tcPr>
          <w:p w:rsidR="00A55E89" w:rsidRDefault="00897020">
            <w:r>
              <w:t>Greg Mangum</w:t>
            </w:r>
          </w:p>
          <w:p w:rsidR="00897020" w:rsidRDefault="00897020">
            <w:r>
              <w:t>Eloy Villafranca</w:t>
            </w:r>
          </w:p>
          <w:p w:rsidR="00897020" w:rsidRDefault="00897020">
            <w:r>
              <w:t>Roy Lopez</w:t>
            </w:r>
          </w:p>
          <w:p w:rsidR="00897020" w:rsidRDefault="00897020"/>
        </w:tc>
      </w:tr>
      <w:tr w:rsidR="00A55E89" w:rsidTr="00897020">
        <w:tc>
          <w:tcPr>
            <w:tcW w:w="1350" w:type="dxa"/>
          </w:tcPr>
          <w:p w:rsidR="00A55E89" w:rsidRDefault="00897020">
            <w:r>
              <w:t>8:50 am</w:t>
            </w:r>
          </w:p>
        </w:tc>
        <w:tc>
          <w:tcPr>
            <w:tcW w:w="5310" w:type="dxa"/>
          </w:tcPr>
          <w:p w:rsidR="00A55E89" w:rsidRDefault="00897020">
            <w:r>
              <w:t>Closing Remarks – Perspectives from the Fed</w:t>
            </w:r>
          </w:p>
        </w:tc>
        <w:tc>
          <w:tcPr>
            <w:tcW w:w="3410" w:type="dxa"/>
          </w:tcPr>
          <w:p w:rsidR="00A55E89" w:rsidRDefault="00897020">
            <w:r>
              <w:t>Roy Lopez</w:t>
            </w:r>
          </w:p>
          <w:p w:rsidR="00897020" w:rsidRDefault="00897020">
            <w:r>
              <w:t>Federal Reserve Bank of Dallas</w:t>
            </w:r>
          </w:p>
          <w:p w:rsidR="00897020" w:rsidRDefault="00897020"/>
        </w:tc>
      </w:tr>
      <w:tr w:rsidR="00A55E89" w:rsidTr="00897020">
        <w:tc>
          <w:tcPr>
            <w:tcW w:w="1350" w:type="dxa"/>
          </w:tcPr>
          <w:p w:rsidR="00A55E89" w:rsidRDefault="00A55E89">
            <w:r>
              <w:t>9:00 am</w:t>
            </w:r>
          </w:p>
        </w:tc>
        <w:tc>
          <w:tcPr>
            <w:tcW w:w="5310" w:type="dxa"/>
          </w:tcPr>
          <w:p w:rsidR="00A55E89" w:rsidRDefault="00897020">
            <w:r>
              <w:t>Adjourn</w:t>
            </w:r>
          </w:p>
          <w:p w:rsidR="00897020" w:rsidRDefault="00897020"/>
        </w:tc>
        <w:tc>
          <w:tcPr>
            <w:tcW w:w="3410" w:type="dxa"/>
          </w:tcPr>
          <w:p w:rsidR="00A55E89" w:rsidRDefault="00A55E89"/>
        </w:tc>
      </w:tr>
    </w:tbl>
    <w:p w:rsidR="003049D3" w:rsidRDefault="003049D3" w:rsidP="003049D3"/>
    <w:p w:rsidR="007D07E3" w:rsidRDefault="007D07E3" w:rsidP="003049D3"/>
    <w:p w:rsidR="003710CF" w:rsidRDefault="003710CF" w:rsidP="003049D3"/>
    <w:p w:rsidR="003710CF" w:rsidRDefault="003710CF" w:rsidP="003049D3"/>
    <w:p w:rsidR="007D07E3" w:rsidRDefault="007D07E3" w:rsidP="003049D3"/>
    <w:p w:rsidR="003049D3" w:rsidRDefault="003049D3" w:rsidP="003049D3"/>
    <w:p w:rsidR="003710CF" w:rsidRDefault="003710CF" w:rsidP="003049D3"/>
    <w:p w:rsidR="003710CF" w:rsidRDefault="003710CF" w:rsidP="003049D3"/>
    <w:p w:rsidR="003710CF" w:rsidRDefault="003710CF" w:rsidP="003049D3"/>
    <w:p w:rsidR="003710CF" w:rsidRDefault="003710CF" w:rsidP="003049D3"/>
    <w:p w:rsidR="003710CF" w:rsidRDefault="003710CF" w:rsidP="003049D3"/>
    <w:p w:rsidR="003710CF" w:rsidRDefault="003710CF" w:rsidP="003049D3"/>
    <w:p w:rsidR="003710CF" w:rsidRDefault="003710CF" w:rsidP="003049D3"/>
    <w:p w:rsidR="003710CF" w:rsidRDefault="003710CF" w:rsidP="003049D3"/>
    <w:p w:rsidR="003710CF" w:rsidRDefault="00B979B0" w:rsidP="003049D3">
      <w:bookmarkStart w:id="0" w:name="_GoBack"/>
      <w:bookmarkEnd w:id="0"/>
      <w:r w:rsidRPr="003710CF">
        <w:rPr>
          <w:noProof/>
        </w:rPr>
        <w:drawing>
          <wp:anchor distT="0" distB="0" distL="114300" distR="114300" simplePos="0" relativeHeight="251659264" behindDoc="0" locked="0" layoutInCell="1" allowOverlap="1" wp14:anchorId="2111EAF2" wp14:editId="476EFF16">
            <wp:simplePos x="0" y="0"/>
            <wp:positionH relativeFrom="column">
              <wp:posOffset>3695700</wp:posOffset>
            </wp:positionH>
            <wp:positionV relativeFrom="paragraph">
              <wp:posOffset>175895</wp:posOffset>
            </wp:positionV>
            <wp:extent cx="1099185" cy="1099185"/>
            <wp:effectExtent l="0" t="0" r="5715" b="5715"/>
            <wp:wrapNone/>
            <wp:docPr id="3" name="Picture 3" descr="T:\Community Financial Stability\Marketing\Logos\Fed logo FRB-Da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Community Financial Stability\Marketing\Logos\Fed logo FRB-Dal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30ED15" wp14:editId="170418C5">
            <wp:simplePos x="0" y="0"/>
            <wp:positionH relativeFrom="column">
              <wp:posOffset>5286375</wp:posOffset>
            </wp:positionH>
            <wp:positionV relativeFrom="paragraph">
              <wp:posOffset>258256</wp:posOffset>
            </wp:positionV>
            <wp:extent cx="968227" cy="88582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llas 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2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0CF">
        <w:rPr>
          <w:noProof/>
        </w:rPr>
        <w:drawing>
          <wp:anchor distT="0" distB="0" distL="114300" distR="114300" simplePos="0" relativeHeight="251658240" behindDoc="1" locked="0" layoutInCell="1" allowOverlap="1" wp14:anchorId="133704C0" wp14:editId="40BE02A8">
            <wp:simplePos x="0" y="0"/>
            <wp:positionH relativeFrom="column">
              <wp:posOffset>1619250</wp:posOffset>
            </wp:positionH>
            <wp:positionV relativeFrom="paragraph">
              <wp:posOffset>513080</wp:posOffset>
            </wp:positionV>
            <wp:extent cx="1543050" cy="417668"/>
            <wp:effectExtent l="0" t="0" r="0" b="1905"/>
            <wp:wrapNone/>
            <wp:docPr id="2" name="Picture 2" descr="T:\Community Financial Stability\Marketing\Logos\FD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mmunity Financial Stability\Marketing\Logos\FDI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0CF">
        <w:rPr>
          <w:noProof/>
        </w:rPr>
        <w:drawing>
          <wp:anchor distT="0" distB="0" distL="114300" distR="114300" simplePos="0" relativeHeight="251661312" behindDoc="0" locked="0" layoutInCell="1" allowOverlap="1" wp14:anchorId="5E944D85" wp14:editId="7A6EE126">
            <wp:simplePos x="0" y="0"/>
            <wp:positionH relativeFrom="column">
              <wp:posOffset>-227965</wp:posOffset>
            </wp:positionH>
            <wp:positionV relativeFrom="paragraph">
              <wp:posOffset>314960</wp:posOffset>
            </wp:positionV>
            <wp:extent cx="1562100" cy="937260"/>
            <wp:effectExtent l="0" t="0" r="0" b="0"/>
            <wp:wrapNone/>
            <wp:docPr id="1" name="Picture 1" descr="T:\Community Financial Stability\Marketing\UW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ty Financial Stability\Marketing\UWM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0CF" w:rsidSect="003049D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19F1"/>
    <w:multiLevelType w:val="hybridMultilevel"/>
    <w:tmpl w:val="087E1A60"/>
    <w:lvl w:ilvl="0" w:tplc="5E14A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0078A"/>
    <w:multiLevelType w:val="hybridMultilevel"/>
    <w:tmpl w:val="AFFCEEBE"/>
    <w:lvl w:ilvl="0" w:tplc="9ACC1F7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3"/>
    <w:rsid w:val="003049D3"/>
    <w:rsid w:val="00340AF2"/>
    <w:rsid w:val="00362152"/>
    <w:rsid w:val="003710CF"/>
    <w:rsid w:val="00543845"/>
    <w:rsid w:val="00706C9D"/>
    <w:rsid w:val="00713A77"/>
    <w:rsid w:val="007D07E3"/>
    <w:rsid w:val="00897020"/>
    <w:rsid w:val="00A55E89"/>
    <w:rsid w:val="00B979B0"/>
    <w:rsid w:val="00D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2205-782F-4C9F-A2DA-52E62FBF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D3"/>
    <w:pPr>
      <w:ind w:left="720"/>
      <w:contextualSpacing/>
    </w:pPr>
  </w:style>
  <w:style w:type="table" w:styleId="TableGrid">
    <w:name w:val="Table Grid"/>
    <w:basedOn w:val="TableNormal"/>
    <w:uiPriority w:val="39"/>
    <w:rsid w:val="00A5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Greg</dc:creator>
  <cp:keywords/>
  <dc:description/>
  <cp:lastModifiedBy>Mangum, Greg</cp:lastModifiedBy>
  <cp:revision>2</cp:revision>
  <cp:lastPrinted>2016-04-26T20:46:00Z</cp:lastPrinted>
  <dcterms:created xsi:type="dcterms:W3CDTF">2016-04-26T21:33:00Z</dcterms:created>
  <dcterms:modified xsi:type="dcterms:W3CDTF">2016-04-26T21:33:00Z</dcterms:modified>
</cp:coreProperties>
</file>